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2D" w:rsidRPr="00F54AF7" w:rsidRDefault="008C45FB">
      <w:bookmarkStart w:id="0" w:name="_GoBack"/>
      <w:bookmarkEnd w:id="0"/>
      <w:r>
        <w:rPr>
          <w:noProof/>
        </w:rPr>
        <w:drawing>
          <wp:anchor distT="0" distB="0" distL="114300" distR="114300" simplePos="0" relativeHeight="251657216" behindDoc="0" locked="0" layoutInCell="1" allowOverlap="1">
            <wp:simplePos x="0" y="0"/>
            <wp:positionH relativeFrom="column">
              <wp:posOffset>571500</wp:posOffset>
            </wp:positionH>
            <wp:positionV relativeFrom="paragraph">
              <wp:posOffset>-685800</wp:posOffset>
            </wp:positionV>
            <wp:extent cx="4343400" cy="1069340"/>
            <wp:effectExtent l="0" t="0" r="0" b="0"/>
            <wp:wrapNone/>
            <wp:docPr id="3" name="Picture 2" descr="W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F2D" w:rsidRPr="00F54AF7" w:rsidRDefault="00FB6F2D"/>
    <w:p w:rsidR="00FB6F2D" w:rsidRPr="00F54AF7" w:rsidRDefault="00FB6F2D"/>
    <w:p w:rsidR="00FB6F2D" w:rsidRPr="00F54AF7" w:rsidRDefault="00FB6F2D"/>
    <w:p w:rsidR="00FF47BD" w:rsidRPr="00B61FCE" w:rsidRDefault="003C6157" w:rsidP="00FF47BD">
      <w:pPr>
        <w:jc w:val="center"/>
        <w:rPr>
          <w:color w:val="502800"/>
        </w:rPr>
      </w:pPr>
      <w:r>
        <w:rPr>
          <w:noProof/>
        </w:rPr>
        <w:drawing>
          <wp:inline distT="0" distB="0" distL="0" distR="0" wp14:anchorId="4A5E2ACF" wp14:editId="199D1833">
            <wp:extent cx="5381469" cy="749152"/>
            <wp:effectExtent l="95250" t="95250" r="86360" b="895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CB255.tmp"/>
                    <pic:cNvPicPr/>
                  </pic:nvPicPr>
                  <pic:blipFill>
                    <a:blip r:embed="rId9">
                      <a:extLst>
                        <a:ext uri="{28A0092B-C50C-407E-A947-70E740481C1C}">
                          <a14:useLocalDpi xmlns:a14="http://schemas.microsoft.com/office/drawing/2010/main" val="0"/>
                        </a:ext>
                      </a:extLst>
                    </a:blip>
                    <a:stretch>
                      <a:fillRect/>
                    </a:stretch>
                  </pic:blipFill>
                  <pic:spPr>
                    <a:xfrm>
                      <a:off x="0" y="0"/>
                      <a:ext cx="5386948" cy="749915"/>
                    </a:xfrm>
                    <a:prstGeom prst="rect">
                      <a:avLst/>
                    </a:prstGeom>
                    <a:ln w="88900" cap="sq" cmpd="thickThin">
                      <a:solidFill>
                        <a:srgbClr val="FFCC00"/>
                      </a:solidFill>
                      <a:prstDash val="solid"/>
                      <a:miter lim="800000"/>
                    </a:ln>
                    <a:effectLst>
                      <a:innerShdw blurRad="76200">
                        <a:srgbClr val="000000"/>
                      </a:innerShdw>
                    </a:effectLst>
                  </pic:spPr>
                </pic:pic>
              </a:graphicData>
            </a:graphic>
          </wp:inline>
        </w:drawing>
      </w:r>
    </w:p>
    <w:p w:rsidR="00FB6F2D" w:rsidRDefault="00FB6F2D"/>
    <w:p w:rsidR="00DE7A2C" w:rsidRPr="00F54AF7" w:rsidRDefault="00DE7A2C" w:rsidP="00DE7A2C">
      <w:pPr>
        <w:tabs>
          <w:tab w:val="left" w:pos="2340"/>
        </w:tabs>
      </w:pPr>
    </w:p>
    <w:p w:rsidR="004A5BAC" w:rsidRPr="00075E96" w:rsidRDefault="004A5BAC" w:rsidP="004A5BAC">
      <w:pPr>
        <w:tabs>
          <w:tab w:val="left" w:pos="2340"/>
        </w:tabs>
        <w:rPr>
          <w:rFonts w:ascii="Open Sans" w:hAnsi="Open Sans" w:cs="Open Sans"/>
          <w:b/>
          <w:color w:val="472311"/>
        </w:rPr>
      </w:pPr>
      <w:r w:rsidRPr="00075E96">
        <w:rPr>
          <w:rFonts w:ascii="Open Sans" w:hAnsi="Open Sans" w:cs="Open Sans"/>
          <w:color w:val="472311"/>
        </w:rPr>
        <w:t xml:space="preserve">Candidate: </w:t>
      </w:r>
      <w:r w:rsidRPr="00075E96">
        <w:rPr>
          <w:rFonts w:ascii="Open Sans" w:hAnsi="Open Sans" w:cs="Open Sans"/>
          <w:color w:val="472311"/>
        </w:rPr>
        <w:tab/>
      </w:r>
      <w:r w:rsidR="004717BA">
        <w:rPr>
          <w:rFonts w:ascii="Open Sans" w:hAnsi="Open Sans" w:cs="Open Sans"/>
          <w:b/>
          <w:color w:val="472311"/>
        </w:rPr>
        <w:t xml:space="preserve">Nanda </w:t>
      </w:r>
      <w:proofErr w:type="spellStart"/>
      <w:r w:rsidR="004717BA">
        <w:rPr>
          <w:rFonts w:ascii="Open Sans" w:hAnsi="Open Sans" w:cs="Open Sans"/>
          <w:b/>
          <w:color w:val="472311"/>
        </w:rPr>
        <w:t>Wijayanti</w:t>
      </w:r>
      <w:proofErr w:type="spellEnd"/>
    </w:p>
    <w:p w:rsidR="004A5BAC" w:rsidRPr="00075E96" w:rsidRDefault="00133025" w:rsidP="004A5BAC">
      <w:pPr>
        <w:tabs>
          <w:tab w:val="left" w:pos="2340"/>
        </w:tabs>
        <w:rPr>
          <w:rFonts w:ascii="Open Sans" w:hAnsi="Open Sans" w:cs="Open Sans"/>
          <w:color w:val="472311"/>
        </w:rPr>
      </w:pPr>
      <w:r>
        <w:rPr>
          <w:rFonts w:ascii="Open Sans" w:hAnsi="Open Sans" w:cs="Open Sans"/>
          <w:color w:val="472311"/>
        </w:rPr>
        <w:t>For the</w:t>
      </w:r>
      <w:r w:rsidR="008627A6">
        <w:rPr>
          <w:rFonts w:ascii="Open Sans" w:hAnsi="Open Sans" w:cs="Open Sans"/>
          <w:color w:val="472311"/>
        </w:rPr>
        <w:t xml:space="preserve"> degree of:</w:t>
      </w:r>
      <w:r w:rsidR="008627A6">
        <w:rPr>
          <w:rFonts w:ascii="Open Sans" w:hAnsi="Open Sans" w:cs="Open Sans"/>
          <w:color w:val="472311"/>
        </w:rPr>
        <w:tab/>
        <w:t xml:space="preserve">Doctor of </w:t>
      </w:r>
      <w:r w:rsidR="004717BA">
        <w:rPr>
          <w:rFonts w:ascii="Open Sans" w:hAnsi="Open Sans" w:cs="Open Sans"/>
          <w:color w:val="472311"/>
        </w:rPr>
        <w:t>Philosophy</w:t>
      </w:r>
    </w:p>
    <w:p w:rsidR="004A5BAC" w:rsidRPr="00075E96" w:rsidRDefault="008627A6" w:rsidP="004A5BAC">
      <w:pPr>
        <w:tabs>
          <w:tab w:val="left" w:pos="2340"/>
        </w:tabs>
        <w:rPr>
          <w:rFonts w:ascii="Open Sans" w:hAnsi="Open Sans" w:cs="Open Sans"/>
          <w:color w:val="472311"/>
        </w:rPr>
      </w:pPr>
      <w:r>
        <w:rPr>
          <w:rFonts w:ascii="Open Sans" w:hAnsi="Open Sans" w:cs="Open Sans"/>
          <w:color w:val="472311"/>
        </w:rPr>
        <w:t>Department:</w:t>
      </w:r>
      <w:r>
        <w:rPr>
          <w:rFonts w:ascii="Open Sans" w:hAnsi="Open Sans" w:cs="Open Sans"/>
          <w:color w:val="472311"/>
        </w:rPr>
        <w:tab/>
      </w:r>
      <w:r w:rsidR="004717BA">
        <w:rPr>
          <w:rFonts w:ascii="Open Sans" w:hAnsi="Open Sans" w:cs="Open Sans"/>
          <w:color w:val="472311"/>
        </w:rPr>
        <w:t>School of Public Affairs and Administration</w:t>
      </w:r>
    </w:p>
    <w:p w:rsidR="004A5BAC" w:rsidRPr="00075E96" w:rsidRDefault="004A5BAC" w:rsidP="004A5BAC">
      <w:pPr>
        <w:tabs>
          <w:tab w:val="left" w:pos="2340"/>
        </w:tabs>
        <w:rPr>
          <w:rFonts w:ascii="Open Sans" w:hAnsi="Open Sans" w:cs="Open Sans"/>
          <w:color w:val="472311"/>
        </w:rPr>
      </w:pPr>
      <w:r w:rsidRPr="00075E96">
        <w:rPr>
          <w:rFonts w:ascii="Open Sans" w:hAnsi="Open Sans" w:cs="Open Sans"/>
          <w:color w:val="472311"/>
        </w:rPr>
        <w:tab/>
      </w:r>
    </w:p>
    <w:p w:rsidR="004A5BAC" w:rsidRPr="00075E96" w:rsidRDefault="004A5BAC" w:rsidP="004A5BAC">
      <w:pPr>
        <w:tabs>
          <w:tab w:val="left" w:pos="2340"/>
        </w:tabs>
        <w:ind w:left="2340" w:hanging="2340"/>
        <w:rPr>
          <w:rFonts w:ascii="Open Sans" w:hAnsi="Open Sans" w:cs="Open Sans"/>
          <w:b/>
          <w:color w:val="472311"/>
        </w:rPr>
      </w:pPr>
      <w:r w:rsidRPr="00075E96">
        <w:rPr>
          <w:rFonts w:ascii="Open Sans" w:hAnsi="Open Sans" w:cs="Open Sans"/>
          <w:color w:val="472311"/>
        </w:rPr>
        <w:t>Title:</w:t>
      </w:r>
      <w:r w:rsidRPr="00075E96">
        <w:rPr>
          <w:rFonts w:ascii="Open Sans" w:hAnsi="Open Sans" w:cs="Open Sans"/>
          <w:color w:val="472311"/>
        </w:rPr>
        <w:tab/>
      </w:r>
      <w:r w:rsidR="007D24AF">
        <w:rPr>
          <w:rFonts w:ascii="Open Sans" w:hAnsi="Open Sans" w:cs="Open Sans"/>
          <w:b/>
          <w:color w:val="472311"/>
        </w:rPr>
        <w:t>Banking Supervisory and Regulatory Policy in Developing Countries: An Analysis of Determinants and Impacts</w:t>
      </w:r>
    </w:p>
    <w:p w:rsidR="004A5BAC" w:rsidRPr="00075E96" w:rsidRDefault="004A5BAC" w:rsidP="004A5BAC">
      <w:pPr>
        <w:tabs>
          <w:tab w:val="left" w:pos="2340"/>
        </w:tabs>
        <w:ind w:left="2304" w:hanging="2160"/>
        <w:rPr>
          <w:rFonts w:ascii="Open Sans" w:hAnsi="Open Sans" w:cs="Open Sans"/>
          <w:color w:val="472311"/>
        </w:rPr>
      </w:pPr>
    </w:p>
    <w:p w:rsidR="004A5BAC" w:rsidRPr="00075E96" w:rsidRDefault="004A5BAC" w:rsidP="004A5BAC">
      <w:pPr>
        <w:tabs>
          <w:tab w:val="left" w:pos="2340"/>
        </w:tabs>
        <w:rPr>
          <w:rFonts w:ascii="Open Sans" w:hAnsi="Open Sans" w:cs="Open Sans"/>
          <w:color w:val="472311"/>
        </w:rPr>
      </w:pPr>
      <w:r w:rsidRPr="00075E96">
        <w:rPr>
          <w:rFonts w:ascii="Open Sans" w:hAnsi="Open Sans" w:cs="Open Sans"/>
          <w:color w:val="472311"/>
        </w:rPr>
        <w:t>Committee:</w:t>
      </w:r>
      <w:r w:rsidRPr="00075E96">
        <w:rPr>
          <w:rFonts w:ascii="Open Sans" w:hAnsi="Open Sans" w:cs="Open Sans"/>
          <w:color w:val="472311"/>
        </w:rPr>
        <w:tab/>
        <w:t>Dr.</w:t>
      </w:r>
      <w:r w:rsidR="008627A6">
        <w:rPr>
          <w:rFonts w:ascii="Open Sans" w:hAnsi="Open Sans" w:cs="Open Sans"/>
          <w:color w:val="472311"/>
        </w:rPr>
        <w:t xml:space="preserve"> </w:t>
      </w:r>
      <w:r w:rsidR="007D24AF">
        <w:rPr>
          <w:rFonts w:ascii="Open Sans" w:hAnsi="Open Sans" w:cs="Open Sans"/>
          <w:color w:val="472311"/>
        </w:rPr>
        <w:t>Udaya Wagle</w:t>
      </w:r>
      <w:r w:rsidRPr="00075E96">
        <w:rPr>
          <w:rFonts w:ascii="Open Sans" w:hAnsi="Open Sans" w:cs="Open Sans"/>
          <w:color w:val="472311"/>
        </w:rPr>
        <w:t>, Chair</w:t>
      </w:r>
    </w:p>
    <w:p w:rsidR="004A5BAC" w:rsidRPr="00075E96" w:rsidRDefault="004A5BAC" w:rsidP="004A5BAC">
      <w:pPr>
        <w:tabs>
          <w:tab w:val="left" w:pos="2340"/>
        </w:tabs>
        <w:rPr>
          <w:rFonts w:ascii="Open Sans" w:hAnsi="Open Sans" w:cs="Open Sans"/>
          <w:color w:val="472311"/>
        </w:rPr>
      </w:pPr>
      <w:r w:rsidRPr="00075E96">
        <w:rPr>
          <w:rFonts w:ascii="Open Sans" w:hAnsi="Open Sans" w:cs="Open Sans"/>
          <w:color w:val="472311"/>
        </w:rPr>
        <w:tab/>
        <w:t xml:space="preserve">Dr. </w:t>
      </w:r>
      <w:r w:rsidR="00D7287A">
        <w:rPr>
          <w:rFonts w:ascii="Open Sans" w:hAnsi="Open Sans" w:cs="Open Sans"/>
          <w:color w:val="472311"/>
        </w:rPr>
        <w:t xml:space="preserve">Kevin </w:t>
      </w:r>
      <w:proofErr w:type="spellStart"/>
      <w:r w:rsidR="00D7287A">
        <w:rPr>
          <w:rFonts w:ascii="Open Sans" w:hAnsi="Open Sans" w:cs="Open Sans"/>
          <w:color w:val="472311"/>
        </w:rPr>
        <w:t>Corder</w:t>
      </w:r>
      <w:proofErr w:type="spellEnd"/>
    </w:p>
    <w:p w:rsidR="00133025" w:rsidRPr="00075E96" w:rsidRDefault="004A5BAC" w:rsidP="004A5BAC">
      <w:pPr>
        <w:tabs>
          <w:tab w:val="left" w:pos="2340"/>
        </w:tabs>
        <w:rPr>
          <w:rFonts w:ascii="Open Sans" w:hAnsi="Open Sans" w:cs="Open Sans"/>
          <w:color w:val="472311"/>
        </w:rPr>
      </w:pPr>
      <w:r w:rsidRPr="00075E96">
        <w:rPr>
          <w:rFonts w:ascii="Open Sans" w:hAnsi="Open Sans" w:cs="Open Sans"/>
          <w:color w:val="472311"/>
        </w:rPr>
        <w:tab/>
        <w:t xml:space="preserve">Dr. </w:t>
      </w:r>
      <w:r w:rsidR="00D7287A">
        <w:rPr>
          <w:rFonts w:ascii="Open Sans" w:hAnsi="Open Sans" w:cs="Open Sans"/>
          <w:color w:val="472311"/>
        </w:rPr>
        <w:t xml:space="preserve">Susan </w:t>
      </w:r>
      <w:proofErr w:type="spellStart"/>
      <w:r w:rsidR="00D7287A">
        <w:rPr>
          <w:rFonts w:ascii="Open Sans" w:hAnsi="Open Sans" w:cs="Open Sans"/>
          <w:color w:val="472311"/>
        </w:rPr>
        <w:t>Pozo</w:t>
      </w:r>
      <w:proofErr w:type="spellEnd"/>
    </w:p>
    <w:p w:rsidR="004A5BAC" w:rsidRPr="00075E96" w:rsidRDefault="004A5BAC" w:rsidP="004A5BAC">
      <w:pPr>
        <w:tabs>
          <w:tab w:val="left" w:pos="2340"/>
        </w:tabs>
        <w:rPr>
          <w:rFonts w:ascii="Open Sans" w:hAnsi="Open Sans" w:cs="Open Sans"/>
          <w:color w:val="472311"/>
        </w:rPr>
      </w:pPr>
    </w:p>
    <w:p w:rsidR="004A5BAC" w:rsidRDefault="004A5BAC" w:rsidP="004A5BAC">
      <w:pPr>
        <w:tabs>
          <w:tab w:val="left" w:pos="2340"/>
        </w:tabs>
        <w:rPr>
          <w:rFonts w:ascii="Open Sans" w:hAnsi="Open Sans" w:cs="Open Sans"/>
          <w:b/>
          <w:color w:val="472311"/>
        </w:rPr>
      </w:pPr>
      <w:r w:rsidRPr="00075E96">
        <w:rPr>
          <w:rFonts w:ascii="Open Sans" w:hAnsi="Open Sans" w:cs="Open Sans"/>
          <w:color w:val="472311"/>
        </w:rPr>
        <w:t>Time/Place:</w:t>
      </w:r>
      <w:r w:rsidRPr="00075E96">
        <w:rPr>
          <w:rFonts w:ascii="Open Sans" w:hAnsi="Open Sans" w:cs="Open Sans"/>
          <w:color w:val="472311"/>
        </w:rPr>
        <w:tab/>
      </w:r>
      <w:r w:rsidR="00D7287A">
        <w:rPr>
          <w:rFonts w:ascii="Open Sans" w:hAnsi="Open Sans" w:cs="Open Sans"/>
          <w:b/>
          <w:color w:val="472311"/>
        </w:rPr>
        <w:t>Friday</w:t>
      </w:r>
      <w:r w:rsidR="00467AD5">
        <w:rPr>
          <w:rFonts w:ascii="Open Sans" w:hAnsi="Open Sans" w:cs="Open Sans"/>
          <w:b/>
          <w:color w:val="472311"/>
        </w:rPr>
        <w:t xml:space="preserve">, </w:t>
      </w:r>
      <w:r w:rsidR="00D7287A">
        <w:rPr>
          <w:rFonts w:ascii="Open Sans" w:hAnsi="Open Sans" w:cs="Open Sans"/>
          <w:b/>
          <w:color w:val="472311"/>
        </w:rPr>
        <w:t>July 12</w:t>
      </w:r>
      <w:r w:rsidR="00C2753F">
        <w:rPr>
          <w:rFonts w:ascii="Open Sans" w:hAnsi="Open Sans" w:cs="Open Sans"/>
          <w:b/>
          <w:color w:val="472311"/>
        </w:rPr>
        <w:t>,</w:t>
      </w:r>
      <w:r w:rsidR="00D7287A">
        <w:rPr>
          <w:rFonts w:ascii="Open Sans" w:hAnsi="Open Sans" w:cs="Open Sans"/>
          <w:b/>
          <w:color w:val="472311"/>
        </w:rPr>
        <w:t xml:space="preserve"> 2019</w:t>
      </w:r>
    </w:p>
    <w:p w:rsidR="00133025" w:rsidRDefault="008627A6" w:rsidP="004A5BAC">
      <w:pPr>
        <w:tabs>
          <w:tab w:val="left" w:pos="2340"/>
        </w:tabs>
        <w:rPr>
          <w:rFonts w:ascii="Open Sans" w:hAnsi="Open Sans" w:cs="Open Sans"/>
          <w:b/>
          <w:color w:val="472311"/>
        </w:rPr>
      </w:pPr>
      <w:r>
        <w:rPr>
          <w:rFonts w:ascii="Open Sans" w:hAnsi="Open Sans" w:cs="Open Sans"/>
          <w:b/>
          <w:color w:val="472311"/>
        </w:rPr>
        <w:tab/>
      </w:r>
      <w:r w:rsidR="00E80AE9">
        <w:rPr>
          <w:rFonts w:ascii="Open Sans" w:hAnsi="Open Sans" w:cs="Open Sans"/>
          <w:b/>
          <w:color w:val="472311"/>
        </w:rPr>
        <w:t>10 a.m. to noon</w:t>
      </w:r>
    </w:p>
    <w:p w:rsidR="00133025" w:rsidRPr="00075E96" w:rsidRDefault="008627A6" w:rsidP="004A5BAC">
      <w:pPr>
        <w:tabs>
          <w:tab w:val="left" w:pos="2340"/>
        </w:tabs>
        <w:rPr>
          <w:rFonts w:ascii="Open Sans" w:hAnsi="Open Sans" w:cs="Open Sans"/>
          <w:b/>
          <w:color w:val="472311"/>
        </w:rPr>
      </w:pPr>
      <w:r>
        <w:rPr>
          <w:rFonts w:ascii="Open Sans" w:hAnsi="Open Sans" w:cs="Open Sans"/>
          <w:b/>
          <w:color w:val="472311"/>
        </w:rPr>
        <w:tab/>
      </w:r>
      <w:r w:rsidR="00E80AE9">
        <w:rPr>
          <w:rFonts w:ascii="Open Sans" w:hAnsi="Open Sans" w:cs="Open Sans"/>
          <w:b/>
          <w:color w:val="472311"/>
        </w:rPr>
        <w:t>211E Walwood Hall</w:t>
      </w:r>
    </w:p>
    <w:p w:rsidR="004A5BAC" w:rsidRPr="00D77C86" w:rsidRDefault="004A5BAC" w:rsidP="004A5BAC">
      <w:pPr>
        <w:tabs>
          <w:tab w:val="left" w:pos="2340"/>
        </w:tabs>
        <w:rPr>
          <w:rFonts w:ascii="Open Sans" w:hAnsi="Open Sans" w:cs="Open Sans"/>
          <w:b/>
          <w:color w:val="472311"/>
        </w:rPr>
      </w:pPr>
    </w:p>
    <w:p w:rsidR="004A5BAC" w:rsidRPr="00D77C86" w:rsidRDefault="004A5BAC" w:rsidP="004A5BAC">
      <w:pPr>
        <w:tabs>
          <w:tab w:val="left" w:pos="2340"/>
        </w:tabs>
        <w:rPr>
          <w:rFonts w:ascii="Open Sans" w:hAnsi="Open Sans" w:cs="Open Sans"/>
          <w:b/>
          <w:color w:val="472311"/>
        </w:rPr>
      </w:pPr>
    </w:p>
    <w:p w:rsidR="00E80AE9" w:rsidRPr="00E80AE9" w:rsidRDefault="00E80AE9" w:rsidP="00E80AE9">
      <w:pPr>
        <w:tabs>
          <w:tab w:val="left" w:pos="3330"/>
        </w:tabs>
        <w:ind w:firstLine="720"/>
        <w:rPr>
          <w:rFonts w:ascii="Open Sans" w:hAnsi="Open Sans" w:cs="Open Sans"/>
          <w:color w:val="472311"/>
        </w:rPr>
      </w:pPr>
      <w:r w:rsidRPr="00E80AE9">
        <w:rPr>
          <w:rFonts w:ascii="Open Sans" w:hAnsi="Open Sans" w:cs="Open Sans"/>
          <w:color w:val="472311"/>
        </w:rPr>
        <w:t>Over a decade after the Great Recession of 2007/2008, many countries are still struggling to devise appropriate policy actions that enhance banking supervision and regulation and help miti</w:t>
      </w:r>
      <w:r w:rsidR="00C65B89">
        <w:rPr>
          <w:rFonts w:ascii="Open Sans" w:hAnsi="Open Sans" w:cs="Open Sans"/>
          <w:color w:val="472311"/>
        </w:rPr>
        <w:t>gate large-scale financial crisi</w:t>
      </w:r>
      <w:r w:rsidRPr="00E80AE9">
        <w:rPr>
          <w:rFonts w:ascii="Open Sans" w:hAnsi="Open Sans" w:cs="Open Sans"/>
          <w:color w:val="472311"/>
        </w:rPr>
        <w:t xml:space="preserve">s in </w:t>
      </w:r>
      <w:r w:rsidR="00C65B89">
        <w:rPr>
          <w:rFonts w:ascii="Open Sans" w:hAnsi="Open Sans" w:cs="Open Sans"/>
          <w:color w:val="472311"/>
        </w:rPr>
        <w:t xml:space="preserve">the </w:t>
      </w:r>
      <w:r w:rsidRPr="00E80AE9">
        <w:rPr>
          <w:rFonts w:ascii="Open Sans" w:hAnsi="Open Sans" w:cs="Open Sans"/>
          <w:color w:val="472311"/>
        </w:rPr>
        <w:t xml:space="preserve">future. This uncertainty has also left lingering impacts on economic growth especially in developing countries that have weak institutional mechanisms. This study examines how banking supervision and regulatory reforms are determined in the cross-national context of advanced and developing countries. Using time series, cross-sectional data on 180 countries over a period of 12 years (1999-2011), </w:t>
      </w:r>
      <w:proofErr w:type="gramStart"/>
      <w:r w:rsidRPr="00E80AE9">
        <w:rPr>
          <w:rFonts w:ascii="Open Sans" w:hAnsi="Open Sans" w:cs="Open Sans"/>
          <w:color w:val="472311"/>
        </w:rPr>
        <w:t>the</w:t>
      </w:r>
      <w:proofErr w:type="gramEnd"/>
      <w:r w:rsidRPr="00E80AE9">
        <w:rPr>
          <w:rFonts w:ascii="Open Sans" w:hAnsi="Open Sans" w:cs="Open Sans"/>
          <w:color w:val="472311"/>
        </w:rPr>
        <w:t xml:space="preserve"> purpose is to explore the roles of exposure of financial crisis, trade openness, recipiency of financial assistance, level of democratization, and corruption in adopting the different degrees and forms of banking supervision and regulatory policies. The </w:t>
      </w:r>
      <w:r w:rsidRPr="00E80AE9">
        <w:rPr>
          <w:rFonts w:ascii="Open Sans" w:hAnsi="Open Sans" w:cs="Open Sans"/>
          <w:color w:val="472311"/>
        </w:rPr>
        <w:lastRenderedPageBreak/>
        <w:t xml:space="preserve">analysis is also extended to the potential impact of banking supervision and regulation on economic growth in the cross-national context. </w:t>
      </w:r>
    </w:p>
    <w:p w:rsidR="00FB6F2D" w:rsidRPr="00CB1842" w:rsidRDefault="00E80AE9" w:rsidP="00E80AE9">
      <w:pPr>
        <w:tabs>
          <w:tab w:val="left" w:pos="3330"/>
        </w:tabs>
        <w:ind w:firstLine="720"/>
        <w:rPr>
          <w:rFonts w:ascii="Open Sans" w:hAnsi="Open Sans" w:cs="Open Sans"/>
          <w:color w:val="472311"/>
        </w:rPr>
      </w:pPr>
      <w:r w:rsidRPr="00E80AE9">
        <w:rPr>
          <w:rFonts w:ascii="Open Sans" w:hAnsi="Open Sans" w:cs="Open Sans"/>
          <w:color w:val="472311"/>
        </w:rPr>
        <w:t>Findings from multivariate analysis suggest that countries with financial crisis experience, low reliance on financial assistance, high trade openness, and, to some extent, democratic institutions are more likely to witness a relatively stable policy context of banking supervision and regulation. Findings also suggest that tighter forms of banking supervision and regulation may have contributed to faster economic growth before, although not after, the global financial crisis. While acknowledging sensitivity to the specific measure of banking supervision and regulation as well as the diverging experiences of advanced and developing countries, this study helps com</w:t>
      </w:r>
      <w:r w:rsidR="009C2751">
        <w:rPr>
          <w:rFonts w:ascii="Open Sans" w:hAnsi="Open Sans" w:cs="Open Sans"/>
          <w:color w:val="472311"/>
        </w:rPr>
        <w:t xml:space="preserve">parative researchers and policy </w:t>
      </w:r>
      <w:r w:rsidRPr="00E80AE9">
        <w:rPr>
          <w:rFonts w:ascii="Open Sans" w:hAnsi="Open Sans" w:cs="Open Sans"/>
          <w:color w:val="472311"/>
        </w:rPr>
        <w:t>makers understand how contextual and institutional settings become a part of the equation determining banking regulations and growth across countries.</w:t>
      </w:r>
      <w:r w:rsidR="00DF700E" w:rsidRPr="00CB1842">
        <w:rPr>
          <w:rFonts w:ascii="Open Sans" w:hAnsi="Open Sans" w:cs="Open Sans"/>
          <w:color w:val="472311"/>
        </w:rPr>
        <w:tab/>
      </w:r>
    </w:p>
    <w:sectPr w:rsidR="00FB6F2D" w:rsidRPr="00CB1842" w:rsidSect="00430758">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758" w:rsidRDefault="00430758" w:rsidP="00430758">
      <w:r>
        <w:separator/>
      </w:r>
    </w:p>
  </w:endnote>
  <w:endnote w:type="continuationSeparator" w:id="0">
    <w:p w:rsidR="00430758" w:rsidRDefault="00430758" w:rsidP="0043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LT Std 57 C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758" w:rsidRPr="00847F04" w:rsidRDefault="009E17A5" w:rsidP="00430758">
    <w:pPr>
      <w:pStyle w:val="Footer"/>
      <w:jc w:val="right"/>
      <w:rPr>
        <w:rFonts w:ascii="Open Sans" w:hAnsi="Open Sans" w:cs="Open Sans"/>
        <w:color w:val="472311"/>
      </w:rPr>
    </w:pPr>
    <w:r w:rsidRPr="00847F04">
      <w:rPr>
        <w:rFonts w:ascii="Open Sans" w:hAnsi="Open Sans" w:cs="Open Sans"/>
        <w:color w:val="472311"/>
      </w:rPr>
      <w:t>(</w:t>
    </w:r>
    <w:proofErr w:type="gramStart"/>
    <w:r w:rsidRPr="00847F04">
      <w:rPr>
        <w:rFonts w:ascii="Open Sans" w:hAnsi="Open Sans" w:cs="Open Sans"/>
        <w:color w:val="472311"/>
      </w:rPr>
      <w:t>over</w:t>
    </w:r>
    <w:proofErr w:type="gramEnd"/>
    <w:r w:rsidRPr="00847F04">
      <w:rPr>
        <w:rFonts w:ascii="Open Sans" w:hAnsi="Open Sans" w:cs="Open Sans"/>
        <w:color w:val="47231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758" w:rsidRDefault="00430758" w:rsidP="00430758">
      <w:r>
        <w:separator/>
      </w:r>
    </w:p>
  </w:footnote>
  <w:footnote w:type="continuationSeparator" w:id="0">
    <w:p w:rsidR="00430758" w:rsidRDefault="00430758" w:rsidP="00430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EEF7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BA51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8699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8C6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C001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842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F63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C6B0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A4A2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3A915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D"/>
    <w:rsid w:val="0001545B"/>
    <w:rsid w:val="00075E96"/>
    <w:rsid w:val="00125EB6"/>
    <w:rsid w:val="00133025"/>
    <w:rsid w:val="001B21F1"/>
    <w:rsid w:val="001C2CD1"/>
    <w:rsid w:val="001C45FD"/>
    <w:rsid w:val="00216759"/>
    <w:rsid w:val="002422B3"/>
    <w:rsid w:val="0025553F"/>
    <w:rsid w:val="002A1E7A"/>
    <w:rsid w:val="002F4B98"/>
    <w:rsid w:val="003403D6"/>
    <w:rsid w:val="0037069F"/>
    <w:rsid w:val="003C6157"/>
    <w:rsid w:val="003E3CAE"/>
    <w:rsid w:val="003F3758"/>
    <w:rsid w:val="00430758"/>
    <w:rsid w:val="00467AD5"/>
    <w:rsid w:val="004717BA"/>
    <w:rsid w:val="004A5BAC"/>
    <w:rsid w:val="004C35D7"/>
    <w:rsid w:val="0057103F"/>
    <w:rsid w:val="0060523E"/>
    <w:rsid w:val="0060740B"/>
    <w:rsid w:val="00675C3A"/>
    <w:rsid w:val="006C3C0C"/>
    <w:rsid w:val="0070609F"/>
    <w:rsid w:val="007225EB"/>
    <w:rsid w:val="007A64D2"/>
    <w:rsid w:val="007D24AF"/>
    <w:rsid w:val="0080342A"/>
    <w:rsid w:val="008452AD"/>
    <w:rsid w:val="00847F04"/>
    <w:rsid w:val="008627A6"/>
    <w:rsid w:val="0087606F"/>
    <w:rsid w:val="008C45FB"/>
    <w:rsid w:val="008F0CAE"/>
    <w:rsid w:val="0095046E"/>
    <w:rsid w:val="009C2751"/>
    <w:rsid w:val="009D18B2"/>
    <w:rsid w:val="009D6968"/>
    <w:rsid w:val="009E17A5"/>
    <w:rsid w:val="00A023E2"/>
    <w:rsid w:val="00A256E8"/>
    <w:rsid w:val="00A43CD9"/>
    <w:rsid w:val="00A62A7D"/>
    <w:rsid w:val="00AA19EB"/>
    <w:rsid w:val="00AC7582"/>
    <w:rsid w:val="00B905B4"/>
    <w:rsid w:val="00BE7890"/>
    <w:rsid w:val="00C2753F"/>
    <w:rsid w:val="00C65B89"/>
    <w:rsid w:val="00CB1842"/>
    <w:rsid w:val="00CC4EEB"/>
    <w:rsid w:val="00CC56B5"/>
    <w:rsid w:val="00CE369F"/>
    <w:rsid w:val="00CE6E38"/>
    <w:rsid w:val="00CF2226"/>
    <w:rsid w:val="00D15934"/>
    <w:rsid w:val="00D7287A"/>
    <w:rsid w:val="00D743AB"/>
    <w:rsid w:val="00D77C86"/>
    <w:rsid w:val="00DE7A2C"/>
    <w:rsid w:val="00DF700E"/>
    <w:rsid w:val="00E24C58"/>
    <w:rsid w:val="00E80AE9"/>
    <w:rsid w:val="00EC1221"/>
    <w:rsid w:val="00ED7138"/>
    <w:rsid w:val="00F417D0"/>
    <w:rsid w:val="00F54AF7"/>
    <w:rsid w:val="00F71BEB"/>
    <w:rsid w:val="00F87953"/>
    <w:rsid w:val="00FB6F2D"/>
    <w:rsid w:val="00FF00C9"/>
    <w:rsid w:val="00FF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3677789F-3B2A-48F3-AB01-AB6B4B75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issertation Announcement Body Text"/>
    <w:qFormat/>
    <w:rsid w:val="002F4B98"/>
    <w:rPr>
      <w:rFonts w:ascii="Univers LT Std 57 Cn" w:hAnsi="Univers LT Std 57 Cn"/>
      <w:color w:val="55463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56B5"/>
    <w:rPr>
      <w:rFonts w:ascii="Tahoma" w:hAnsi="Tahoma" w:cs="Tahoma"/>
      <w:sz w:val="16"/>
      <w:szCs w:val="16"/>
    </w:rPr>
  </w:style>
  <w:style w:type="character" w:customStyle="1" w:styleId="BalloonTextChar">
    <w:name w:val="Balloon Text Char"/>
    <w:basedOn w:val="DefaultParagraphFont"/>
    <w:link w:val="BalloonText"/>
    <w:rsid w:val="00CC56B5"/>
    <w:rPr>
      <w:rFonts w:ascii="Tahoma" w:hAnsi="Tahoma" w:cs="Tahoma"/>
      <w:sz w:val="16"/>
      <w:szCs w:val="16"/>
    </w:rPr>
  </w:style>
  <w:style w:type="paragraph" w:styleId="Header">
    <w:name w:val="header"/>
    <w:basedOn w:val="Normal"/>
    <w:link w:val="HeaderChar"/>
    <w:rsid w:val="00430758"/>
    <w:pPr>
      <w:tabs>
        <w:tab w:val="center" w:pos="4680"/>
        <w:tab w:val="right" w:pos="9360"/>
      </w:tabs>
    </w:pPr>
  </w:style>
  <w:style w:type="character" w:customStyle="1" w:styleId="HeaderChar">
    <w:name w:val="Header Char"/>
    <w:basedOn w:val="DefaultParagraphFont"/>
    <w:link w:val="Header"/>
    <w:rsid w:val="00430758"/>
    <w:rPr>
      <w:rFonts w:ascii="Univers LT Std 57 Cn" w:hAnsi="Univers LT Std 57 Cn"/>
      <w:color w:val="554630"/>
      <w:sz w:val="24"/>
      <w:szCs w:val="24"/>
    </w:rPr>
  </w:style>
  <w:style w:type="paragraph" w:styleId="Footer">
    <w:name w:val="footer"/>
    <w:basedOn w:val="Normal"/>
    <w:link w:val="FooterChar"/>
    <w:rsid w:val="00430758"/>
    <w:pPr>
      <w:tabs>
        <w:tab w:val="center" w:pos="4680"/>
        <w:tab w:val="right" w:pos="9360"/>
      </w:tabs>
    </w:pPr>
  </w:style>
  <w:style w:type="character" w:customStyle="1" w:styleId="FooterChar">
    <w:name w:val="Footer Char"/>
    <w:basedOn w:val="DefaultParagraphFont"/>
    <w:link w:val="Footer"/>
    <w:rsid w:val="00430758"/>
    <w:rPr>
      <w:rFonts w:ascii="Univers LT Std 57 Cn" w:hAnsi="Univers LT Std 57 Cn"/>
      <w:color w:val="55463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002">
      <w:bodyDiv w:val="1"/>
      <w:marLeft w:val="0"/>
      <w:marRight w:val="0"/>
      <w:marTop w:val="0"/>
      <w:marBottom w:val="0"/>
      <w:divBdr>
        <w:top w:val="none" w:sz="0" w:space="0" w:color="auto"/>
        <w:left w:val="none" w:sz="0" w:space="0" w:color="auto"/>
        <w:bottom w:val="none" w:sz="0" w:space="0" w:color="auto"/>
        <w:right w:val="none" w:sz="0" w:space="0" w:color="auto"/>
      </w:divBdr>
    </w:div>
    <w:div w:id="508643347">
      <w:bodyDiv w:val="1"/>
      <w:marLeft w:val="0"/>
      <w:marRight w:val="0"/>
      <w:marTop w:val="0"/>
      <w:marBottom w:val="0"/>
      <w:divBdr>
        <w:top w:val="none" w:sz="0" w:space="0" w:color="auto"/>
        <w:left w:val="none" w:sz="0" w:space="0" w:color="auto"/>
        <w:bottom w:val="none" w:sz="0" w:space="0" w:color="auto"/>
        <w:right w:val="none" w:sz="0" w:space="0" w:color="auto"/>
      </w:divBdr>
    </w:div>
    <w:div w:id="1243177081">
      <w:bodyDiv w:val="1"/>
      <w:marLeft w:val="0"/>
      <w:marRight w:val="0"/>
      <w:marTop w:val="0"/>
      <w:marBottom w:val="0"/>
      <w:divBdr>
        <w:top w:val="none" w:sz="0" w:space="0" w:color="auto"/>
        <w:left w:val="none" w:sz="0" w:space="0" w:color="auto"/>
        <w:bottom w:val="none" w:sz="0" w:space="0" w:color="auto"/>
        <w:right w:val="none" w:sz="0" w:space="0" w:color="auto"/>
      </w:divBdr>
    </w:div>
    <w:div w:id="16154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A3232-4E3C-4E8F-AFCA-19D5AA44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1953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Michigan University</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grad_student</dc:creator>
  <cp:lastModifiedBy>Christine E Hummel</cp:lastModifiedBy>
  <cp:revision>2</cp:revision>
  <cp:lastPrinted>2016-02-22T15:16:00Z</cp:lastPrinted>
  <dcterms:created xsi:type="dcterms:W3CDTF">2019-07-10T18:44:00Z</dcterms:created>
  <dcterms:modified xsi:type="dcterms:W3CDTF">2019-07-10T18:44:00Z</dcterms:modified>
</cp:coreProperties>
</file>